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В Отделение Фонда пенсионного и социального страхования Российской Федерации по </w:t>
      </w:r>
      <w:r>
        <w:rPr>
          <w:i/>
          <w:color w:val="555555"/>
          <w:highlight w:val="lightGray"/>
          <w:sz w:val="23"/>
          <w:szCs w:val="23"/>
        </w:rPr>
        <w:t xml:space="preserve">[субъект РФ]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клиентская служба: </w:t>
      </w:r>
      <w:r>
        <w:rPr>
          <w:i/>
          <w:color w:val="555555"/>
          <w:highlight w:val="lightGray"/>
          <w:sz w:val="23"/>
          <w:szCs w:val="23"/>
        </w:rPr>
        <w:t xml:space="preserve">[адрес]</w:t>
      </w:r>
    </w:p>
    <w:p>
      <w:pPr>
        <w:spacing w:before="0" w:after="40"/>
        <w:ind w:left="4820"/>
        <w:jc w:val="left"/>
      </w:pPr>
    </w:p>
    <w:p>
      <w:pPr>
        <w:spacing w:before="0" w:after="40"/>
        <w:ind w:left="4820"/>
        <w:jc w:val="left"/>
      </w:pPr>
      <w:r>
        <w:rPr>
          <w:b/>
          <w:sz w:val="23"/>
          <w:szCs w:val="23"/>
        </w:rPr>
        <w:t xml:space="preserve">От:</w:t>
      </w:r>
    </w:p>
    <w:p>
      <w:pPr>
        <w:spacing w:before="0" w:after="40"/>
        <w:ind w:left="4820"/>
        <w:jc w:val="left"/>
      </w:pPr>
      <w:r>
        <w:rPr>
          <w:i/>
          <w:color w:val="555555"/>
          <w:highlight w:val="lightGray"/>
          <w:sz w:val="23"/>
          <w:szCs w:val="23"/>
        </w:rPr>
        <w:t xml:space="preserve">[ФИО полностью]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дата и место рождения: </w:t>
      </w:r>
      <w:r>
        <w:rPr>
          <w:i/>
          <w:color w:val="555555"/>
          <w:highlight w:val="lightGray"/>
          <w:sz w:val="23"/>
          <w:szCs w:val="23"/>
        </w:rPr>
        <w:t xml:space="preserve">[дд.мм.гггг, место]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СНИЛС </w:t>
      </w:r>
      <w:r>
        <w:rPr>
          <w:i/>
          <w:color w:val="555555"/>
          <w:highlight w:val="lightGray"/>
          <w:sz w:val="23"/>
          <w:szCs w:val="23"/>
        </w:rPr>
        <w:t xml:space="preserve">[номер]</w:t>
      </w:r>
      <w:r>
        <w:rPr>
          <w:sz w:val="23"/>
          <w:szCs w:val="23"/>
        </w:rPr>
        <w:t xml:space="preserve">, ИНН </w:t>
      </w:r>
      <w:r>
        <w:rPr>
          <w:i/>
          <w:color w:val="555555"/>
          <w:highlight w:val="lightGray"/>
          <w:sz w:val="23"/>
          <w:szCs w:val="23"/>
        </w:rPr>
        <w:t xml:space="preserve">[номер]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адрес места жительства: </w:t>
      </w:r>
      <w:r>
        <w:rPr>
          <w:i/>
          <w:color w:val="555555"/>
          <w:highlight w:val="lightGray"/>
          <w:sz w:val="23"/>
          <w:szCs w:val="23"/>
        </w:rPr>
        <w:t xml:space="preserve">[индекс, адрес]</w:t>
      </w:r>
    </w:p>
    <w:p>
      <w:pPr>
        <w:spacing w:before="0" w:after="40"/>
        <w:ind w:left="4820"/>
        <w:jc w:val="left"/>
      </w:pPr>
      <w:r>
        <w:rPr>
          <w:sz w:val="23"/>
          <w:szCs w:val="23"/>
        </w:rPr>
        <w:t xml:space="preserve">телефон </w:t>
      </w:r>
      <w:r>
        <w:rPr>
          <w:i/>
          <w:color w:val="555555"/>
          <w:highlight w:val="lightGray"/>
          <w:sz w:val="23"/>
          <w:szCs w:val="23"/>
        </w:rPr>
        <w:t xml:space="preserve">[номер]</w:t>
      </w:r>
      <w:r>
        <w:rPr>
          <w:sz w:val="23"/>
          <w:szCs w:val="23"/>
        </w:rPr>
        <w:t xml:space="preserve">, e-mail </w:t>
      </w:r>
      <w:r>
        <w:rPr>
          <w:i/>
          <w:color w:val="555555"/>
          <w:highlight w:val="lightGray"/>
          <w:sz w:val="23"/>
          <w:szCs w:val="23"/>
        </w:rPr>
        <w:t xml:space="preserve">[адрес]</w:t>
      </w:r>
    </w:p>
    <w:p>
      <w:pPr>
        <w:spacing w:before="0" w:after="160"/>
        <w:jc w:val="both"/>
      </w:pPr>
    </w:p>
    <w:p>
      <w:pPr>
        <w:keepNext/>
        <w:spacing w:before="200" w:after="40"/>
        <w:jc w:val="center"/>
      </w:pPr>
      <w:r>
        <w:rPr>
          <w:b/>
          <w:sz w:val="26"/>
          <w:szCs w:val="26"/>
        </w:rPr>
        <w:t xml:space="preserve">ЗАПРОС</w:t>
      </w:r>
    </w:p>
    <w:p>
      <w:pPr>
        <w:keepNext/>
        <w:spacing w:before="0" w:after="240"/>
        <w:jc w:val="center"/>
      </w:pPr>
      <w:r>
        <w:rPr>
          <w:b/>
        </w:rPr>
        <w:t xml:space="preserve">о выдаче справок и сведений</w:t>
      </w:r>
    </w:p>
    <w:p>
      <w:pPr>
        <w:spacing w:before="0" w:after="120"/>
        <w:ind w:firstLine="709"/>
        <w:jc w:val="both"/>
      </w:pPr>
      <w:r>
        <w:t xml:space="preserve">Прошу выдать мне (отметьте нужное):</w:t>
      </w:r>
    </w:p>
    <w:p>
      <w:pPr>
        <w:spacing w:before="0" w:after="60"/>
        <w:ind w:left="397" w:hanging="397"/>
        <w:jc w:val="left"/>
      </w:pPr>
      <w:r>
        <w:t xml:space="preserve">☐  справку о размере пенсии и иных выплат СФР на текущую дату;</w:t>
      </w:r>
    </w:p>
    <w:p>
      <w:pPr>
        <w:spacing w:before="0" w:after="60"/>
        <w:ind w:left="397" w:hanging="397"/>
        <w:jc w:val="left"/>
      </w:pPr>
      <w:r>
        <w:t xml:space="preserve">☐  справку о выплатах СФР за период с </w:t>
      </w:r>
      <w:r>
        <w:rPr>
          <w:i/>
          <w:color w:val="555555"/>
          <w:highlight w:val="lightGray"/>
        </w:rPr>
        <w:t xml:space="preserve">[дд.мм.гггг]</w:t>
      </w:r>
      <w:r>
        <w:t xml:space="preserve"> по </w:t>
      </w:r>
      <w:r>
        <w:rPr>
          <w:i/>
          <w:color w:val="555555"/>
          <w:highlight w:val="lightGray"/>
        </w:rPr>
        <w:t xml:space="preserve">[дд.мм.гггг]</w:t>
      </w:r>
      <w:r>
        <w:t xml:space="preserve"> (виды и суммы выплат по месяцам);</w:t>
      </w:r>
    </w:p>
    <w:p>
      <w:pPr>
        <w:spacing w:before="0" w:after="60"/>
        <w:ind w:left="397" w:hanging="397"/>
        <w:jc w:val="left"/>
      </w:pPr>
      <w:r>
        <w:t xml:space="preserve">☐  сведения о состоянии индивидуального лицевого счёта застрахованного лица (выписку из индивидуального лицевого счёта);</w:t>
      </w:r>
    </w:p>
    <w:p>
      <w:pPr>
        <w:spacing w:before="0" w:after="60"/>
        <w:ind w:left="397" w:hanging="397"/>
        <w:jc w:val="left"/>
      </w:pPr>
      <w:r>
        <w:t xml:space="preserve">☐  иное: </w:t>
      </w:r>
      <w:r>
        <w:rPr>
          <w:i/>
          <w:color w:val="555555"/>
          <w:highlight w:val="lightGray"/>
        </w:rPr>
        <w:t xml:space="preserve">[ ]</w:t>
      </w:r>
      <w:r>
        <w:t xml:space="preserve">.</w:t>
      </w:r>
    </w:p>
    <w:p>
      <w:pPr>
        <w:spacing w:before="0" w:after="120"/>
        <w:ind w:firstLine="709"/>
        <w:jc w:val="both"/>
      </w:pPr>
      <w:r>
        <w:t xml:space="preserve">Сведения необходимы для представления в арбитражный суд с заявлением о признании гражданина банкротом (п. 3 ст. 213.4 Федерального закона «О несостоятельности (банкротстве)»).</w:t>
      </w:r>
    </w:p>
    <w:p>
      <w:pPr>
        <w:spacing w:before="0" w:after="120"/>
        <w:ind w:firstLine="709"/>
        <w:jc w:val="both"/>
      </w:pPr>
      <w:r>
        <w:t xml:space="preserve">Способ получения: </w:t>
      </w:r>
      <w:r>
        <w:rPr>
          <w:i/>
          <w:color w:val="555555"/>
          <w:highlight w:val="lightGray"/>
        </w:rPr>
        <w:t xml:space="preserve">[лично в клиентской службе / почтой по адресу выше / в личный кабинет на Госуслугах]</w:t>
      </w:r>
      <w:r>
        <w:t xml:space="preserve">.</w:t>
      </w:r>
    </w:p>
    <w:p>
      <w:pPr>
        <w:spacing w:before="0" w:after="240"/>
        <w:jc w:val="both"/>
      </w:pPr>
    </w:p>
    <w:p>
      <w:pPr>
        <w:spacing w:before="0" w:after="120"/>
        <w:jc w:val="left"/>
      </w:pPr>
      <w:r>
        <w:t xml:space="preserve">«____» ______________ 20___ г.          ______________ / </w:t>
      </w:r>
      <w:r>
        <w:rPr>
          <w:i/>
          <w:color w:val="555555"/>
          <w:highlight w:val="lightGray"/>
        </w:rPr>
        <w:t xml:space="preserve">[фамилия и инициалы]</w:t>
      </w:r>
    </w:p>
    <w:p>
      <w:pPr>
        <w:spacing w:before="0" w:after="120"/>
        <w:jc w:val="left"/>
      </w:pPr>
      <w:r>
        <w:rPr>
          <w:i/>
          <w:sz w:val="16"/>
          <w:szCs w:val="16"/>
        </w:rPr>
        <w:t xml:space="preserve">                                                                      подпись</w:t>
      </w:r>
    </w:p>
    <w:p>
      <w:pPr>
        <w:pageBreakBefore/>
        <w:spacing w:before="0" w:after="60"/>
        <w:jc w:val="left"/>
      </w:pPr>
      <w:r>
        <w:rPr>
          <w:rFonts w:ascii="Arial" w:hAnsi="Arial" w:cs="Arial"/>
          <w:b/>
          <w:sz w:val="28"/>
          <w:szCs w:val="28"/>
        </w:rPr>
        <w:t xml:space="preserve">Инструкция: Запрос в СФР о справке о пенсии и выписке из лицевого счёта</w:t>
      </w:r>
    </w:p>
    <w:p>
      <w:pPr>
        <w:spacing w:before="0" w:after="200"/>
        <w:jc w:val="left"/>
      </w:pPr>
      <w:r>
        <w:rPr>
          <w:rFonts w:ascii="Arial" w:hAnsi="Arial" w:cs="Arial"/>
          <w:i/>
          <w:sz w:val="20"/>
          <w:szCs w:val="20"/>
        </w:rPr>
        <w:t xml:space="preserve">Это запрос, а не справка: справку выдаёт фонд. Быстрее всего все три документа заказываются онлайн на Госуслугах или в личном кабинете СФР. Бумажный запрос нужен, если нет учётной записи или нужна справка за конкретный период. Для внесудебного банкротства в МФЦ справки выдают по формам приказа Минэкономразвития № 706 — по заявлению установленной формы.</w:t>
      </w:r>
    </w:p>
    <w:p>
      <w:pPr>
        <w:keepNext/>
        <w:spacing w:before="160" w:after="60"/>
        <w:jc w:val="left"/>
      </w:pPr>
      <w:r>
        <w:rPr>
          <w:rFonts w:ascii="Arial" w:hAnsi="Arial" w:cs="Arial"/>
          <w:b/>
          <w:sz w:val="22"/>
          <w:szCs w:val="22"/>
        </w:rPr>
        <w:t xml:space="preserve">Три разных документа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•  </w:t>
      </w:r>
      <w:r>
        <w:rPr>
          <w:rFonts w:ascii="Arial" w:hAnsi="Arial" w:cs="Arial"/>
          <w:b/>
          <w:sz w:val="20"/>
          <w:szCs w:val="20"/>
        </w:rPr>
        <w:t xml:space="preserve">Справка о размере пенсии и иных выплат</w:t>
      </w:r>
      <w:r>
        <w:rPr>
          <w:rFonts w:ascii="Arial" w:hAnsi="Arial" w:cs="Arial"/>
          <w:sz w:val="20"/>
          <w:szCs w:val="20"/>
        </w:rPr>
        <w:t xml:space="preserve"> — что вам назначено сейчас.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•  </w:t>
      </w:r>
      <w:r>
        <w:rPr>
          <w:rFonts w:ascii="Arial" w:hAnsi="Arial" w:cs="Arial"/>
          <w:b/>
          <w:sz w:val="20"/>
          <w:szCs w:val="20"/>
        </w:rPr>
        <w:t xml:space="preserve">Справка о выплатах за период</w:t>
      </w:r>
      <w:r>
        <w:rPr>
          <w:rFonts w:ascii="Arial" w:hAnsi="Arial" w:cs="Arial"/>
          <w:sz w:val="20"/>
          <w:szCs w:val="20"/>
        </w:rPr>
        <w:t xml:space="preserve"> — сколько фонд фактически выплатил по месяцам; для суда это сведения о доходах за три года.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•  </w:t>
      </w:r>
      <w:r>
        <w:rPr>
          <w:rFonts w:ascii="Arial" w:hAnsi="Arial" w:cs="Arial"/>
          <w:b/>
          <w:sz w:val="20"/>
          <w:szCs w:val="20"/>
        </w:rPr>
        <w:t xml:space="preserve">Выписка из индивидуального лицевого счёта</w:t>
      </w:r>
      <w:r>
        <w:rPr>
          <w:rFonts w:ascii="Arial" w:hAnsi="Arial" w:cs="Arial"/>
          <w:sz w:val="20"/>
          <w:szCs w:val="20"/>
        </w:rPr>
        <w:t xml:space="preserve"> — стаж, взносы, пенсионные права. Её требует п. 3 ст. 213.4 вместе с документом о регистрации в системе персонифицированного учёта (СНИЛС). Справку о пенсии она не заменяет.</w:t>
      </w:r>
    </w:p>
    <w:p>
      <w:pPr>
        <w:keepNext/>
        <w:spacing w:before="160" w:after="60"/>
        <w:jc w:val="left"/>
      </w:pPr>
      <w:r>
        <w:rPr>
          <w:rFonts w:ascii="Arial" w:hAnsi="Arial" w:cs="Arial"/>
          <w:b/>
          <w:sz w:val="22"/>
          <w:szCs w:val="22"/>
        </w:rPr>
        <w:t xml:space="preserve">Для МФЦ — другие справки</w:t>
      </w:r>
    </w:p>
    <w:p>
      <w:pPr>
        <w:spacing w:before="0" w:after="80"/>
        <w:jc w:val="left"/>
      </w:pPr>
      <w:r>
        <w:rPr>
          <w:rFonts w:ascii="Arial" w:hAnsi="Arial" w:cs="Arial"/>
          <w:sz w:val="20"/>
          <w:szCs w:val="20"/>
        </w:rPr>
        <w:t xml:space="preserve">Если вы идёте на внесудебное банкротство по основанию «пенсия» или «пособие на ребёнка», справки нужны по формам приказа Минэкономразвития от 09.10.2023 № 706, а с 1 июля 2024 года сведения могут прийти и по межведомственному обмену. Обычная справка о размере пенсии форму № 706 не заменяет. Подробно — zakon127.online/mfc/pensii-i-posobiya/.</w:t>
      </w:r>
    </w:p>
    <w:p>
      <w:pPr>
        <w:keepNext/>
        <w:spacing w:before="160" w:after="60"/>
        <w:jc w:val="left"/>
      </w:pPr>
      <w:r>
        <w:rPr>
          <w:rFonts w:ascii="Arial" w:hAnsi="Arial" w:cs="Arial"/>
          <w:b/>
          <w:sz w:val="22"/>
          <w:szCs w:val="22"/>
        </w:rPr>
        <w:t xml:space="preserve">Как получить быстрее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1. Госуслуги или личный кабинет на сайте СФР: справка о размере пенсии формируется онлайн, с электронной подписью фонда.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2. Клиентская служба СФР или МФЦ — с паспортом, если нужна бумажная справка.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3. Наш образец — для письменного запроса почтой или если в клиентской службе просят заявление в свободной форме.</w:t>
      </w:r>
    </w:p>
    <w:p>
      <w:pPr>
        <w:keepNext/>
        <w:spacing w:before="160" w:after="60"/>
        <w:jc w:val="left"/>
      </w:pPr>
      <w:r>
        <w:rPr>
          <w:rFonts w:ascii="Arial" w:hAnsi="Arial" w:cs="Arial"/>
          <w:b/>
          <w:sz w:val="22"/>
          <w:szCs w:val="22"/>
        </w:rPr>
        <w:t xml:space="preserve">Частые ошибки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•  Справка о пенсии на текущую дату вместо выплат за три года — для суда этого мало.</w:t>
      </w:r>
    </w:p>
    <w:p>
      <w:pPr>
        <w:spacing w:before="0" w:after="60"/>
        <w:ind w:left="397" w:hanging="397"/>
        <w:jc w:val="left"/>
      </w:pPr>
      <w:r>
        <w:rPr>
          <w:rFonts w:ascii="Arial" w:hAnsi="Arial" w:cs="Arial"/>
          <w:sz w:val="20"/>
          <w:szCs w:val="20"/>
        </w:rPr>
        <w:t xml:space="preserve">•  Ожидание, что выписка из лицевого счёта покажет размер пенсии: это другой документ.</w:t>
      </w:r>
    </w:p>
    <w:p>
      <w:pPr>
        <w:spacing w:before="240" w:after="120"/>
        <w:jc w:val="left"/>
      </w:pPr>
      <w:r>
        <w:rPr>
          <w:rFonts w:ascii="Arial" w:hAnsi="Arial" w:cs="Arial"/>
          <w:i/>
          <w:sz w:val="16"/>
          <w:szCs w:val="16"/>
        </w:rPr>
        <w:t xml:space="preserve">Образец подготовлен редакцией «Закон 127» (zakon127.online), нормы сверены 13 октября 2026 года. Это образец, а не юридическая консультация: проверьте актуальную редакцию закона перед подачей. Поля на сером фоне замените своими данными, необязательные абзацы удалите.</w:t>
      </w:r>
    </w:p>
    <w:sectPr>
      <w:pgSz w:w="11906" w:h="16838"/>
      <w:pgMar w:top="1134" w:right="850" w:bottom="1134" w:left="1701" w:header="709" w:footer="709" w:gutter="0"/>
    </w:sectPr>
  </w:body>
</w:document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zakon127.online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Запрос в СФР о справке о пенсии и выписке из лицевого счёта</dc:title>
  <dc:creator>Закон 127</dc:creator>
  <dc:language>ru-RU</dc:language>
  <dcterms:created xsi:type="dcterms:W3CDTF">2026-10-13T12:00:00Z</dcterms:created>
  <dcterms:modified xsi:type="dcterms:W3CDTF">2026-10-13T12:00:00Z</dcterms:modified>
</cp:coreProperties>
</file>